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b/>
          <w:bCs/>
          <w:color w:val="333333"/>
          <w:sz w:val="28"/>
          <w:szCs w:val="28"/>
          <w:shd w:val="clear" w:color="auto" w:fill="FFFFFF"/>
        </w:rPr>
        <w:t>Опубликованы методические рекомендации по подготовке и проведению итогового сочинения в 2019/2020 учебном году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Федеральная служба по надзору в сфере образования и науки подготовила и направила в регионы методические рекомендации по подготовке и проведению итогового сочинения (изложения) в 2019/2020 учебном году. Рекомендации разработаны для органов управления образованием субъектов РФ, образовательных организаций, участников итогового сочинения и экспертов, участвующих в проверке итогового сочинения.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Традиционно итоговое сочинение (изложение) проводится в первую среду декабря, первую среду февраля и первую рабочую среду мая. Основной срок проведения итогового сочинения (изложения) в 2019/2020 учебном году - 4 декабря 2019 года. Повторно написать сочинение 5 февраля 2020 года и 6 мая 2020 года смогут обучающиеся, получившие неудовлетворительный результат, не явившиеся на итоговое сочинение (изложение), не завершившие его написание по уважительным причинам, либо удаленные с сочинения.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  <w:bookmarkStart w:id="0" w:name="_GoBack"/>
      <w:bookmarkEnd w:id="0"/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Успешное написание сочинения является для обучающихся 11 и 12 классов допуском к государственной итоговой аттестации по программам среднего общего образования. Обучающиеся с ограниченными возможностями здоровья, дети-инвалиды и инвалиды вместо сочинения вправе писать итоговое изложение.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Для участия в итоговом сочинении (изложении) участники должны подать заявление не позднее, чем за две недели до его проведения. Регистрация выпускников текущего года на участие в сочинении проводится в школах, где они обучаются. Выпускники прошлых лет могут принять участие в итоговом сочинении (изложении) по желанию в любой из указанных дней, заявления они должны подать в места, определенные региональным органом управления образованием.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Продолжительность написания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здоровья, детей-инвалидов и инвалидов продолжительность написания итогового сочинения (изложения) увеличивается на 1,5 часа.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Рекомендуемый объем итогового сочинения – не менее 350 слов, минимально допустимый – 250 слов. Рекомендуемый объем итогового изложения – 200 слов, минимальный – 150 слов.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 xml:space="preserve">Во время проведения итогового сочинения (изложения) его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</w:t>
      </w:r>
      <w:r w:rsidRPr="00057B64">
        <w:rPr>
          <w:color w:val="333333"/>
          <w:sz w:val="28"/>
          <w:szCs w:val="28"/>
          <w:shd w:val="clear" w:color="auto" w:fill="FFFFFF"/>
        </w:rPr>
        <w:lastRenderedPageBreak/>
        <w:t>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В случае нарушения установленных требований участник подлежит удалению.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 xml:space="preserve">В рекомендациях также изложен порядок проведения сочинения, в том числе </w:t>
      </w:r>
      <w:proofErr w:type="gramStart"/>
      <w:r w:rsidRPr="00057B64">
        <w:rPr>
          <w:color w:val="333333"/>
          <w:sz w:val="28"/>
          <w:szCs w:val="28"/>
          <w:shd w:val="clear" w:color="auto" w:fill="FFFFFF"/>
        </w:rPr>
        <w:t>для различных категорий</w:t>
      </w:r>
      <w:proofErr w:type="gramEnd"/>
      <w:r w:rsidRPr="00057B64">
        <w:rPr>
          <w:color w:val="333333"/>
          <w:sz w:val="28"/>
          <w:szCs w:val="28"/>
          <w:shd w:val="clear" w:color="auto" w:fill="FFFFFF"/>
        </w:rPr>
        <w:t xml:space="preserve"> обучающихся с ограниченными возможностями здоровья, порядок проверки, оценивания и обработки результатов сочинения (изложения), критерии оценивания сочинений на соответствие требованиям объема, самостоятельности, соответствие теме, аргументацию, композицию и логику рассуждения, качество письменной речи, грамотность.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 Выпускники прошлых лет, в том числе ранее писавшие итоговое сочинение, могут написать его по желанию. При этом в вузы они смогут представить итоговое сочинение только текущего года, а сочинение прошлого года аннулируется.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Рекомендации по подготовке к сочинению содержат комментарии, поясняющие особенности открытых тематических направлений сочинений, утвержденных Советом по вопросам проведения итогового сочинения в выпускных классах на текущий учебный год: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6dfd70b23f7950aaaed78a8851937931c0e08d780e522959bb858bdf4d5aafc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b/>
          <w:bCs/>
          <w:color w:val="333333"/>
          <w:sz w:val="28"/>
          <w:szCs w:val="28"/>
          <w:shd w:val="clear" w:color="auto" w:fill="FFFFFF"/>
        </w:rPr>
        <w:t>1.                «Война и мир» – к 150-летию великой книги</w:t>
      </w:r>
    </w:p>
    <w:p w:rsidR="00057B64" w:rsidRPr="00057B64" w:rsidRDefault="00057B64" w:rsidP="00057B64">
      <w:pPr>
        <w:pStyle w:val="6dfd70b23f7950aaaed78a8851937931c0e08d780e522959bb858bdf4d5aafc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Темы, связанные с данным направлением, предполагают попытку осмысления важнейших исторических и нравственно-философских уроков знаменитой толстовской эпопеи. Опираясь на духовный опыт, воплощенный в великой книге, важно поделиться собственными размышлениями о вечном стремлении человека к миру и гармонии, о причинах разлада и поисках согласия между людьми в семейных и социальных отношениях, о многозначности понятий «война» и «мир» и их сложном соотношении, о природе подлинного героизма и патриотизма, а также о других вечных проблемах, неизменно находящих отклик в литературных произведениях.</w:t>
      </w:r>
    </w:p>
    <w:p w:rsidR="00057B64" w:rsidRPr="00057B64" w:rsidRDefault="00057B64" w:rsidP="00057B64">
      <w:pPr>
        <w:pStyle w:val="6dfd70b23f7950aaaed78a8851937931c0e08d780e522959bb858bdf4d5aafc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6dfd70b23f7950aaaed78a8851937931c0e08d780e522959bb858bdf4d5aafc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b/>
          <w:bCs/>
          <w:color w:val="333333"/>
          <w:sz w:val="28"/>
          <w:szCs w:val="28"/>
          <w:shd w:val="clear" w:color="auto" w:fill="FFFFFF"/>
        </w:rPr>
        <w:t>2.                Надежда и отчаяние</w:t>
      </w:r>
    </w:p>
    <w:p w:rsidR="00057B64" w:rsidRPr="00057B64" w:rsidRDefault="00057B64" w:rsidP="00057B64">
      <w:pPr>
        <w:pStyle w:val="6dfd70b23f7950aaaed78a8851937931c0e08d780e522959bb858bdf4d5aafc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 xml:space="preserve">В широком мировоззренческом аспекте понятия «надежда» и «отчаяние» могут быть соотнесены с выбором активной или пассивной жизненной позиции по отношению к несовершенствам окружающей действительности. Надежда помогает человеку выстоять в тяжелых жизненных ситуациях, толкающих к отчаянию и вызывающих ощущение безысходности. Многие литературные герои оказываются перед трудным выбором: проявить слабость и сдаться на волю обстоятельств или бороться с ними, не теряя веры в людей и собственные силы, добро </w:t>
      </w:r>
      <w:proofErr w:type="gramStart"/>
      <w:r w:rsidRPr="00057B64">
        <w:rPr>
          <w:color w:val="333333"/>
          <w:sz w:val="28"/>
          <w:szCs w:val="28"/>
          <w:shd w:val="clear" w:color="auto" w:fill="FFFFFF"/>
        </w:rPr>
        <w:t>и  справедливость</w:t>
      </w:r>
      <w:proofErr w:type="gramEnd"/>
      <w:r w:rsidRPr="00057B64">
        <w:rPr>
          <w:color w:val="333333"/>
          <w:sz w:val="28"/>
          <w:szCs w:val="28"/>
          <w:shd w:val="clear" w:color="auto" w:fill="FFFFFF"/>
        </w:rPr>
        <w:t xml:space="preserve">. Проиллюстрировать проявления этих разных </w:t>
      </w:r>
      <w:r w:rsidRPr="00057B64">
        <w:rPr>
          <w:color w:val="333333"/>
          <w:sz w:val="28"/>
          <w:szCs w:val="28"/>
          <w:shd w:val="clear" w:color="auto" w:fill="FFFFFF"/>
        </w:rPr>
        <w:lastRenderedPageBreak/>
        <w:t>жизненных позиций можно, обратившись к произведениям отечественной и зарубежной литературы.</w:t>
      </w:r>
    </w:p>
    <w:p w:rsidR="00057B64" w:rsidRPr="00057B64" w:rsidRDefault="00057B64" w:rsidP="00057B64">
      <w:pPr>
        <w:pStyle w:val="6dfd70b23f7950aaaed78a8851937931c0e08d780e522959bb858bdf4d5aafc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6dfd70b23f7950aaaed78a8851937931c0e08d780e522959bb858bdf4d5aafc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b/>
          <w:bCs/>
          <w:color w:val="333333"/>
          <w:sz w:val="28"/>
          <w:szCs w:val="28"/>
          <w:shd w:val="clear" w:color="auto" w:fill="FFFFFF"/>
        </w:rPr>
        <w:t>3.                Добро и зло</w:t>
      </w:r>
    </w:p>
    <w:p w:rsidR="00057B64" w:rsidRPr="00057B64" w:rsidRDefault="00057B64" w:rsidP="00057B64">
      <w:pPr>
        <w:pStyle w:val="6dfd70b23f7950aaaed78a8851937931c0e08d780e522959bb858bdf4d5aafc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Конфликт между добром и злом составляет основу большинства сюжетов мировой литературы и фольклора, воплощается в произведениях всех видов искусства. Вечное противостояние двух полюсов человеческого бытия находит свое отражение в нравственном выборе героев, в их мыслях и поступках. Познание добра и зла, определение границ между ними является неотъемлемой частью всякой человеческой судьбы. Преломление читательского опыта ученика в этом ракурсе даст необходимый материал для раскрытия любой из тем указанного направления.</w:t>
      </w:r>
    </w:p>
    <w:p w:rsidR="00057B64" w:rsidRPr="00057B64" w:rsidRDefault="00057B64" w:rsidP="00057B64">
      <w:pPr>
        <w:pStyle w:val="6dfd70b23f7950aaaed78a8851937931c0e08d780e522959bb858bdf4d5aafc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6dfd70b23f7950aaaed78a8851937931c0e08d780e522959bb858bdf4d5aafc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b/>
          <w:bCs/>
          <w:color w:val="333333"/>
          <w:sz w:val="28"/>
          <w:szCs w:val="28"/>
          <w:shd w:val="clear" w:color="auto" w:fill="FFFFFF"/>
        </w:rPr>
        <w:t>4.                Гордость и смирение</w:t>
      </w:r>
    </w:p>
    <w:p w:rsidR="00057B64" w:rsidRPr="00057B64" w:rsidRDefault="00057B64" w:rsidP="00057B64">
      <w:pPr>
        <w:pStyle w:val="6dfd70b23f7950aaaed78a8851937931c0e08d780e522959bb858bdf4d5aafc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Данное направление предполагает осмысление понятий «гордость» и «смирение» в философском, историческом и нравственном аспекте с учетом многозначности их смысла у людей разных национальностей и религиозных убеждений. Понятие «гордость» может быть осмыслено как в позитивном ключе (чувство собственного достоинства), так и в негативном (гордыня); понятие «смирение» – как рабская покорность или как внутренняя сила, позволяющая не отвечать агрессией на агрессию. Выбор тех или иных смысловых аспектов, а также примеров из литературных произведений остаются за автором сочинения.</w:t>
      </w:r>
    </w:p>
    <w:p w:rsidR="00057B64" w:rsidRPr="00057B64" w:rsidRDefault="00057B64" w:rsidP="00057B64">
      <w:pPr>
        <w:pStyle w:val="6dfd70b23f7950aaaed78a8851937931c0e08d780e522959bb858bdf4d5aafc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6dfd70b23f7950aaaed78a8851937931c0e08d780e522959bb858bdf4d5aafce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b/>
          <w:bCs/>
          <w:color w:val="333333"/>
          <w:sz w:val="28"/>
          <w:szCs w:val="28"/>
          <w:shd w:val="clear" w:color="auto" w:fill="FFFFFF"/>
        </w:rPr>
        <w:t>5.  Он и она</w:t>
      </w:r>
    </w:p>
    <w:p w:rsidR="00057B64" w:rsidRPr="00057B64" w:rsidRDefault="00057B64" w:rsidP="00057B6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Взаимоотношения между мужчиной и женщиной, как в личной, так и в социальной сфере, всегда волновали отечественных и зарубежных писателей, публицистов, философов. Темы сочинений данного направления дают возможность рассмотреть разные проявления этих отношений: от дружбы и любви до конфликта и обоюдного неприятия. Предметом размышления может стать и многообразие взаимоотношений мужчины и женщины в социальном, культурном, семейном контексте, включая духовные связи между ребенком и родителями. Обширный литературный материал содержит примеры осмысления тончайших нюансов духовного сосуществования двух миров, именуемых «он» и «она».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Комплекты тем итогового сочинения для различных регионов будут размещены на официальном информационном портале ЕГЭ за 15 минут до его начала по местному времени.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 </w:t>
      </w:r>
    </w:p>
    <w:p w:rsidR="00057B64" w:rsidRPr="00057B64" w:rsidRDefault="00057B64" w:rsidP="00057B64">
      <w:pPr>
        <w:pStyle w:val="7b487c9a47e3cf047ae7e2dca2e299e4mailrucssattributepostfix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57B64">
        <w:rPr>
          <w:color w:val="333333"/>
          <w:sz w:val="28"/>
          <w:szCs w:val="28"/>
          <w:shd w:val="clear" w:color="auto" w:fill="FFFFFF"/>
        </w:rPr>
        <w:t>Рекомендации доступны для ознакомления на </w:t>
      </w:r>
      <w:hyperlink r:id="rId4" w:tgtFrame="_blank" w:history="1">
        <w:r w:rsidRPr="00057B64">
          <w:rPr>
            <w:rStyle w:val="a5"/>
            <w:color w:val="005BD1"/>
            <w:sz w:val="28"/>
            <w:szCs w:val="28"/>
            <w:shd w:val="clear" w:color="auto" w:fill="FFFFFF"/>
          </w:rPr>
          <w:t xml:space="preserve">официальном сайте </w:t>
        </w:r>
        <w:proofErr w:type="spellStart"/>
        <w:r w:rsidRPr="00057B64">
          <w:rPr>
            <w:rStyle w:val="a5"/>
            <w:color w:val="005BD1"/>
            <w:sz w:val="28"/>
            <w:szCs w:val="28"/>
            <w:shd w:val="clear" w:color="auto" w:fill="FFFFFF"/>
          </w:rPr>
          <w:t>Рособрнадзора</w:t>
        </w:r>
        <w:proofErr w:type="spellEnd"/>
      </w:hyperlink>
      <w:r w:rsidRPr="00057B64">
        <w:rPr>
          <w:color w:val="333333"/>
          <w:sz w:val="28"/>
          <w:szCs w:val="28"/>
          <w:shd w:val="clear" w:color="auto" w:fill="FFFFFF"/>
        </w:rPr>
        <w:t> и </w:t>
      </w:r>
      <w:hyperlink r:id="rId5" w:tgtFrame="_blank" w:history="1">
        <w:r w:rsidRPr="00057B64">
          <w:rPr>
            <w:rStyle w:val="a5"/>
            <w:color w:val="005BD1"/>
            <w:sz w:val="28"/>
            <w:szCs w:val="28"/>
            <w:shd w:val="clear" w:color="auto" w:fill="FFFFFF"/>
          </w:rPr>
          <w:t>информационном портале ЕГЭ</w:t>
        </w:r>
      </w:hyperlink>
      <w:r w:rsidRPr="00057B64">
        <w:rPr>
          <w:color w:val="333333"/>
          <w:sz w:val="28"/>
          <w:szCs w:val="28"/>
          <w:shd w:val="clear" w:color="auto" w:fill="FFFFFF"/>
        </w:rPr>
        <w:t>.</w:t>
      </w:r>
    </w:p>
    <w:p w:rsidR="00057B64" w:rsidRPr="00057B64" w:rsidRDefault="00057B64" w:rsidP="00057B64">
      <w:pPr>
        <w:shd w:val="clear" w:color="auto" w:fill="FFFFFF"/>
        <w:rPr>
          <w:color w:val="000000"/>
          <w:sz w:val="28"/>
          <w:szCs w:val="28"/>
        </w:rPr>
      </w:pPr>
      <w:r w:rsidRPr="00057B64">
        <w:rPr>
          <w:color w:val="000000"/>
          <w:sz w:val="28"/>
          <w:szCs w:val="28"/>
        </w:rPr>
        <w:t> </w:t>
      </w:r>
    </w:p>
    <w:p w:rsidR="00471984" w:rsidRDefault="00471984"/>
    <w:sectPr w:rsidR="00471984" w:rsidSect="00057B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B64"/>
    <w:rsid w:val="00057B64"/>
    <w:rsid w:val="00066D78"/>
    <w:rsid w:val="00187CB3"/>
    <w:rsid w:val="00231B7C"/>
    <w:rsid w:val="00471984"/>
    <w:rsid w:val="004C71E3"/>
    <w:rsid w:val="00A52C62"/>
    <w:rsid w:val="00AD39A0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ADD3C-03D8-4F56-87C8-0F8007C3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C62"/>
    <w:pPr>
      <w:spacing w:after="0" w:line="240" w:lineRule="auto"/>
    </w:pPr>
    <w:rPr>
      <w:rFonts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  <w:style w:type="paragraph" w:customStyle="1" w:styleId="7b487c9a47e3cf047ae7e2dca2e299e4mailrucssattributepostfixmailrucssattributepostfix">
    <w:name w:val="7b487c9a47e3cf047ae7e2dca2e299e4_mailru_css_attribute_postfix_mailru_css_attribute_postfix"/>
    <w:basedOn w:val="a"/>
    <w:rsid w:val="00057B64"/>
    <w:pPr>
      <w:spacing w:before="100" w:beforeAutospacing="1" w:after="100" w:afterAutospacing="1"/>
    </w:pPr>
  </w:style>
  <w:style w:type="paragraph" w:customStyle="1" w:styleId="6dfd70b23f7950aaaed78a8851937931c0e08d780e522959bb858bdf4d5aafce">
    <w:name w:val="6dfd70b23f7950aaaed78a8851937931c0e08d780e522959bb858bdf4d5aafce"/>
    <w:basedOn w:val="a"/>
    <w:rsid w:val="00057B64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057B6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057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legal-documents/rosobrnadzor/guidelines/" TargetMode="External"/><Relationship Id="rId4" Type="http://schemas.openxmlformats.org/officeDocument/2006/relationships/hyperlink" Target="http://obrnadzor.gov.ru/ru/docs/document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2019-10-02T06:58:00Z</dcterms:created>
  <dcterms:modified xsi:type="dcterms:W3CDTF">2019-10-02T07:00:00Z</dcterms:modified>
</cp:coreProperties>
</file>