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B1CD" w14:textId="12C4CF44" w:rsidR="005845D8" w:rsidRDefault="005845D8" w:rsidP="000A75F1">
      <w:pPr>
        <w:shd w:val="clear" w:color="auto" w:fill="FFFFFF"/>
        <w:ind w:firstLine="709"/>
        <w:jc w:val="center"/>
        <w:rPr>
          <w:rFonts w:eastAsia="Times New Roman"/>
          <w:b/>
          <w:bCs/>
          <w:lang w:eastAsia="ru-RU"/>
        </w:rPr>
      </w:pPr>
      <w:r w:rsidRPr="005845D8">
        <w:rPr>
          <w:rFonts w:eastAsia="Times New Roman"/>
          <w:b/>
          <w:bCs/>
          <w:lang w:eastAsia="ru-RU"/>
        </w:rPr>
        <w:t>МИНИСТЕРСТВО ТРУДА И СОЦИАЛЬНОЙ ЗАЩИТЫ</w:t>
      </w:r>
      <w:r w:rsidRPr="005845D8">
        <w:rPr>
          <w:rFonts w:eastAsia="Times New Roman"/>
          <w:b/>
          <w:bCs/>
          <w:lang w:eastAsia="ru-RU"/>
        </w:rPr>
        <w:br/>
        <w:t>РОССИЙСКОЙ ФЕДЕРАЦИИ</w:t>
      </w:r>
      <w:r w:rsidRPr="005845D8">
        <w:rPr>
          <w:rFonts w:eastAsia="Times New Roman"/>
          <w:b/>
          <w:bCs/>
          <w:lang w:eastAsia="ru-RU"/>
        </w:rPr>
        <w:br/>
        <w:t> </w:t>
      </w:r>
      <w:r w:rsidRPr="005845D8">
        <w:rPr>
          <w:rFonts w:eastAsia="Times New Roman"/>
          <w:b/>
          <w:bCs/>
          <w:lang w:eastAsia="ru-RU"/>
        </w:rPr>
        <w:br/>
        <w:t>ПИСЬМО</w:t>
      </w:r>
      <w:r w:rsidRPr="005845D8">
        <w:rPr>
          <w:rFonts w:eastAsia="Times New Roman"/>
          <w:b/>
          <w:bCs/>
          <w:lang w:eastAsia="ru-RU"/>
        </w:rPr>
        <w:br/>
        <w:t>от 22 сентября 2022 г. № 15-2/ООГ-2333</w:t>
      </w:r>
    </w:p>
    <w:p w14:paraId="20C4F8A4"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 </w:t>
      </w:r>
    </w:p>
    <w:p w14:paraId="3F836606"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14:paraId="2EEDC1BB"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В соответствии с пунктом 5.16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722DFCB2"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В соответствии со статьей 214 Трудового кодекса Российской Федерации работодатель обязан обеспечить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694429BB"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Постановлением Правительства Российской Федерации от 24 декабря 2021 г. № 2464 «О порядке обучения по охране труда и проверки знания требований охраны труда» (далее — Постановление № 2464) утверждены Правила обучения по охране труда и проверки знания требований охраны труда (далее — Правила).</w:t>
      </w:r>
    </w:p>
    <w:p w14:paraId="7701C884"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1. Пунктом 2 Постановления № 2464 установлено, что 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14:paraId="1A766B23"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Положения данного пункта относятся к документам, подтверждающим проверку у работников знания требований охраны труда, полученным до вступления в силу Постановления № 2464.</w:t>
      </w:r>
    </w:p>
    <w:p w14:paraId="4BF8E8DE"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Правилами установлены отдельные требования к лицам, проводящим обучение по охране труда, в зависимости от вида обучения по охране труда.</w:t>
      </w:r>
    </w:p>
    <w:p w14:paraId="270A6D9C"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Так, например, подпунктом «е» пункта 53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561BAECC"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lastRenderedPageBreak/>
        <w:t>С учетом изложенного поясняем: в случае, если квалификация лиц соответствует требованиям Правил, полагаем, дополнительное обучение не требуется.</w:t>
      </w:r>
    </w:p>
    <w:p w14:paraId="7F0D99A1"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Дополнительно сообщаем, что в пункте 16 Правил приведены случаи, при наступлении которых проводится внеплановый инструктаж, в том числе при изменении нормативных правовых актов, содержащих государственные нормативные требования охраны труда, затрагивающем непосредственно трудовые функции работника, а также изменении локальных нормативных актов организации, затрагивающем требования охраны труда в организации.</w:t>
      </w:r>
    </w:p>
    <w:p w14:paraId="47CBA74E" w14:textId="77777777" w:rsidR="005845D8" w:rsidRDefault="005845D8" w:rsidP="005845D8">
      <w:pPr>
        <w:shd w:val="clear" w:color="auto" w:fill="FFFFFF"/>
        <w:ind w:firstLine="709"/>
        <w:jc w:val="both"/>
        <w:rPr>
          <w:rFonts w:eastAsia="Times New Roman"/>
          <w:color w:val="333333"/>
          <w:lang w:eastAsia="ru-RU"/>
        </w:rPr>
      </w:pPr>
      <w:r w:rsidRPr="005845D8">
        <w:rPr>
          <w:rFonts w:eastAsia="Times New Roman"/>
          <w:color w:val="333333"/>
          <w:lang w:eastAsia="ru-RU"/>
        </w:rPr>
        <w:t>Таким образом, в случае, если новыми нормативными правовыми актами по охране труда вносятся изменения в трудовые функции работника, полагаем, с данными работниками следует провести внеплановый инструктаж.</w:t>
      </w:r>
    </w:p>
    <w:p w14:paraId="6ADE31E0"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2. В соответствии с пунктом 13 Правил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w:t>
      </w:r>
    </w:p>
    <w:p w14:paraId="692C56B5"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При этом работодателем утверждается Перечень профессий и должностей работников, освобожденных от прохождения первичного инструктажа по охране труда.</w:t>
      </w:r>
    </w:p>
    <w:p w14:paraId="6507532A"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Следует отметить, что задачей первичного инструктажа по охране труда является</w:t>
      </w:r>
      <w:r w:rsidR="00A770D7">
        <w:rPr>
          <w:rFonts w:eastAsia="Times New Roman"/>
          <w:color w:val="333333"/>
          <w:lang w:eastAsia="ru-RU"/>
        </w:rPr>
        <w:t>,</w:t>
      </w:r>
      <w:r w:rsidRPr="00F37983">
        <w:rPr>
          <w:rFonts w:eastAsia="Times New Roman"/>
          <w:color w:val="333333"/>
          <w:lang w:eastAsia="ru-RU"/>
        </w:rPr>
        <w:t xml:space="preserve"> в том числе</w:t>
      </w:r>
      <w:r w:rsidR="00A770D7">
        <w:rPr>
          <w:rFonts w:eastAsia="Times New Roman"/>
          <w:color w:val="333333"/>
          <w:lang w:eastAsia="ru-RU"/>
        </w:rPr>
        <w:t>,</w:t>
      </w:r>
      <w:r w:rsidRPr="00F37983">
        <w:rPr>
          <w:rFonts w:eastAsia="Times New Roman"/>
          <w:color w:val="333333"/>
          <w:lang w:eastAsia="ru-RU"/>
        </w:rPr>
        <w:t xml:space="preserve"> ознакомление работника с технологическим процессом и оборудованием на его рабочем месте, с требованиями безопасности при эксплуатации данного оборудования. В этой связи в пункте 13 Правил указаны те виды оборудования, при работе с которыми допускается освобождение работника от первичного инструктажа по охране труда.</w:t>
      </w:r>
    </w:p>
    <w:p w14:paraId="650E644C"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В случае если по результатам оценки профессиональных рисков работодателем выявлены иные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инструктажа по охране труда.</w:t>
      </w:r>
    </w:p>
    <w:p w14:paraId="742AA2FB"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Пункт 54 Правил содержит условия, при которых работодатель может освободить отдельные категории, указанные в подпункте «в» пункта 53 Правил, от прохождения обучения требованиям охраны труда по программе, предусмотренной подпунктом «б» пункта 46 Правил. При этом информация о безопасных методах и приемах выполнения работ при наличии таких </w:t>
      </w:r>
      <w:r w:rsidRPr="00F37983">
        <w:rPr>
          <w:rFonts w:eastAsia="Times New Roman"/>
          <w:color w:val="333333"/>
          <w:lang w:eastAsia="ru-RU"/>
        </w:rPr>
        <w:lastRenderedPageBreak/>
        <w:t>источников опасности доводится до работников в рамках проведения вводного или первичного инструктажа по охране труда.</w:t>
      </w:r>
    </w:p>
    <w:p w14:paraId="22BB5C30"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3. Согласно пункту 14 Правил повторный инструктаж по охране труда проводится не реже одного раза в 6 месяцев.</w:t>
      </w:r>
    </w:p>
    <w:p w14:paraId="08CC7196"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В соответствии с пунктом 15 Правил повторный инструктаж по охране труда не проводится для работников, освобожденных от прохождения первичного инструктажа по охране труда.</w:t>
      </w:r>
    </w:p>
    <w:p w14:paraId="262E3A4C"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С учетом изложенного поясняем, что повторный инструктаж по охране труда проводится для тех работников, которые прошли первичный инструктаж по охране труда.</w:t>
      </w:r>
    </w:p>
    <w:p w14:paraId="567F2EE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4. Согласно пункту 18 Правил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14:paraId="68383893"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Разработка программы инструктажа по охране труда на рабочем месте Правилами не регламентирована.</w:t>
      </w:r>
    </w:p>
    <w:p w14:paraId="4FDF509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5, 14. Правилами установлены отдельные требования к прохождению практических занятий с применением технических средств и наглядных пособий.</w:t>
      </w:r>
    </w:p>
    <w:p w14:paraId="4524A8D8"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Определение перечня технических средств и наглядных пособий зависит от вида программы обучения по охране труда.</w:t>
      </w:r>
    </w:p>
    <w:p w14:paraId="2A6E5271"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Приказом Федерального агентства по техническому регулированию и метрологии от 15 декабря 2009 г. № 968-ст утвержден и введен в действие ГОСТ Р 53626-2009 «Национальный стандарт Российской Федерации. Информационно-коммуникационные технологии в образовании. Технические средства обучения. Общие положения» (далее — ГОСТ Р 53626-2009), который устанавливает общие положения применительно к техническим средствам обучения, используемым в образовательных учреждениях всех уровней для реализации образовательных программ в соответствии с требованиями федеральных государственных образовательных стандартов.</w:t>
      </w:r>
    </w:p>
    <w:p w14:paraId="655D8912"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Согласно пункту 3.1 ГОСТ Р 53626-2009 технические средства обучения (ТСО) — это специализированные технические средства, предназначенные для использования в образовательном процессе в целях повышения качества и эффективности обучения.</w:t>
      </w:r>
    </w:p>
    <w:p w14:paraId="50607771"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Технические средства обучения могут быть в виде устройства, аппаратуры, оборудования, информационно-программного обеспечения или комбинации этих средств с учетом их функционального назначения в образовательном процессе.</w:t>
      </w:r>
    </w:p>
    <w:p w14:paraId="1FD30637"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Дополнительно сообщаем, что при формировании учебного материала для реализации программ обучения по оказанию первой помощи пострадавшим полагаем возможным руководствоваться Учебно-методическим комплексом по первой помощи, включающим учебное пособие «Первая помощь: учебное пособие для лиц, обязанных и (или) имеющих право оказывать первую помощь», учебное пособие «Первая помощь: учебное </w:t>
      </w:r>
      <w:r w:rsidRPr="00F37983">
        <w:rPr>
          <w:rFonts w:eastAsia="Times New Roman"/>
          <w:color w:val="333333"/>
          <w:lang w:eastAsia="ru-RU"/>
        </w:rPr>
        <w:lastRenderedPageBreak/>
        <w:t>пособие для преподавателей, обучающих лиц, обязанных и (или) имеющих право оказывать первую помощь», разработанным Минздравом России.</w:t>
      </w:r>
    </w:p>
    <w:p w14:paraId="7DA22F7D"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Также сообщаем, что на официальном сайте Минздрава России по адресу: http://www.rosminzdrav.ru/documents/7188-algoritmy-pervoy-pomoschi размещено учебное пособие «Алгоритмы первой помощи», которым можно руководствоваться при разработке учебного материала для программы обучения по оказанию первой помощи пострадавшим.</w:t>
      </w:r>
    </w:p>
    <w:p w14:paraId="5204C180"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6. Согласно пункту 25 Правил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14:paraId="1B802557"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этом пунктом 26 Правил установлено, что перечень профессий и должностей работников, которым необходимо пройти стажировку на рабочем месте (далее — Перечень),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1E254C48"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Таким образом, в случае если работник входит в Перечень, то он может быть допущен к работам после прохождения стажировки по охране труда на рабочем месте.</w:t>
      </w:r>
    </w:p>
    <w:p w14:paraId="17EC192F"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7. Подпунктом «е» пункта 53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578EEE4C"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Так, например, в случае если работник проходит проверку знаний безопасных методов и приемов выполнения работ на высоте, то, соответственно, лицо, проводящие обучение, также должно быть обучено безопасным методам и приемам выполнения работ на высоте в соответствии с требованиями, установленными Приказом Минтруда России от 16.11.2020 № 782н «Об утверждении Правил по охране труда при работе на высоте».</w:t>
      </w:r>
    </w:p>
    <w:p w14:paraId="2158CBBA"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w:t>
      </w:r>
    </w:p>
    <w:p w14:paraId="668C6A8C"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9.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Правил.</w:t>
      </w:r>
    </w:p>
    <w:p w14:paraId="33E05DB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lastRenderedPageBreak/>
        <w:t xml:space="preserve"> Согласно статье 214 Трудового кодекса Российской Федерации работодатель обязан обеспечить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
    <w:p w14:paraId="4179168B"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10. В соответствии с пунктом 79 Правил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14:paraId="5D62A823"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Исходя из положений пункта 79 Правил следует, что работник, показавший неудовлетворительные знания по результатам прохождения проверки знания требований охраны труда,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подготовку и проверку знания требований охраны труда.</w:t>
      </w:r>
    </w:p>
    <w:p w14:paraId="2CD93828"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Работодателю следует обратить внимание работника на подготовку к проверке знаний требований охраны труда.</w:t>
      </w:r>
    </w:p>
    <w:p w14:paraId="244C3086"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11. Согласно пункту 80 Правил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19EE3DED"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этом пунктом 81 Правил установлено, что форма и порядок учета работников, подлежащих обучению по охране труда, устанавливаются работодателем.</w:t>
      </w:r>
    </w:p>
    <w:p w14:paraId="63CA7E3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определении перечня работников, подлежащих обучению требованиям охраны труда, необходимо учитывать профессию работника, вид выполняемых работ и специфику деятельности организации.</w:t>
      </w:r>
    </w:p>
    <w:p w14:paraId="6A5A05DC"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12. Пунктом 87 Правил установлена информация, которая указывается при регистрации проведения инструктажа по охране труда на рабочем месте (первичный, повторный, внеплановый), а также целевого инструктажа по охране труда.</w:t>
      </w:r>
    </w:p>
    <w:p w14:paraId="1A9FB3FF"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этом пунктом 88 Правил установлено, что порядок регистрации проведенного инструктажа по охране труда и форма его документирования утверждаются работодателем.</w:t>
      </w:r>
    </w:p>
    <w:p w14:paraId="7BC906C3"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13. Пунктом 92 Правил определены сведения, которые указываются в протоколе проверки знаний требований охраны труда работников.</w:t>
      </w:r>
    </w:p>
    <w:p w14:paraId="6A1571D4"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lastRenderedPageBreak/>
        <w:t xml:space="preserve"> Пунктом 91 Правил предусмотрено, что протокол проверки знаний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14:paraId="53BCD01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Подпунктом «з» пункта 92 Правил определено, что в протоколе проверки знания требований охраны труда указывается регистрационный номер записи о прохождении проверки знания требований охраны труда (далее — регистрационный номер) в реестре обученных по охране труда лиц (далее — реестр обученных лиц).</w:t>
      </w:r>
    </w:p>
    <w:p w14:paraId="0D8903A4"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Согласно подпункту «б» пункта 118 Правил индивидуальный предприниматель или юридическое лицо, осуществляющие деятельность по обучению своих работников вопросам охраны труда, после проведения проверки знания требований охраны труда передают в реестр обученных лиц следующие сведения:</w:t>
      </w:r>
    </w:p>
    <w:p w14:paraId="5C5D5DE7"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 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14:paraId="04E85105"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наименование программы обучения по охране труда;</w:t>
      </w:r>
    </w:p>
    <w:p w14:paraId="5F78E815"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дата проверки знания требований охраны труда;</w:t>
      </w:r>
    </w:p>
    <w:p w14:paraId="3C6C6178"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результат проверки знания требований охраны труда (оценка результата проверки «удовлетворительно» или «неудовлетворительно»);</w:t>
      </w:r>
    </w:p>
    <w:p w14:paraId="24E40B64"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номер протокола проверки знания требований охраны труда.</w:t>
      </w:r>
    </w:p>
    <w:p w14:paraId="5B95CA27"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Таким образом, представляется, что подписание протокола проверки знания требований охраны труда и передача соответствующих сведений в реестр обученных лиц возможны в следующей последовательности:</w:t>
      </w:r>
    </w:p>
    <w:p w14:paraId="1C79174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 оформление протокола проверки знания требований охраны труда (подпункты «а»-«ж» пункта 92 Правил) с присвоением номера протокола;</w:t>
      </w:r>
    </w:p>
    <w:p w14:paraId="6C7FDCB5"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2) передача сведений, предусмотренных подпунктом «б» пункта 118, в реестр обученных лиц и установление регистрационного номера записи о прохождении проверки знания требований охраны труда в реестре обученных лиц;</w:t>
      </w:r>
    </w:p>
    <w:p w14:paraId="0042EFA3"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3) несение регистрационного номера в протокол проверки знания требований охраны труда;</w:t>
      </w:r>
    </w:p>
    <w:p w14:paraId="22EFF8A3"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4) подписание протокола работником и членами комиссии.</w:t>
      </w:r>
    </w:p>
    <w:p w14:paraId="6B225670"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этом в соответствии с пунктом 2 Постановления № 2464 положения пункта 118 Правил в части, касающейся внесения сведений в реестр обученных по охране труда лиц, применяются с 1 марта 2023 года.</w:t>
      </w:r>
    </w:p>
    <w:p w14:paraId="1F5AEB05"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16. Подпунктом «в» пункта 96 Правил установлено,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(без привлечения организаций и индивидуальных предпринимателей, оказывающих услуги по обучению работодателей и работников вопросам охраны труда), должен иметь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DF6DAA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lastRenderedPageBreak/>
        <w:t>В соответствии с пунктом 44 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02304A70"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Из положений пункта 35 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объеме не менее 8 часов и в соответствии с примерными перечнями тем, предусмотренными приложением № 2, 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 При этом лица, проводящие обучение по оказанию первой помощи пострадавшим,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14:paraId="11A45CAB"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Таким образом, поясняем, что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установленными пунктом 35 Правил.</w:t>
      </w:r>
    </w:p>
    <w:p w14:paraId="6983C584"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Также согласно пункту 40 Правил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14:paraId="7F3D4F09"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Подпунктом «е» пункта 53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проводятся проверка знания требований охраны труда, и (или) инструктаж по охране труда, и (или) обучение требованиям охраны труда.</w:t>
      </w:r>
    </w:p>
    <w:p w14:paraId="6E0E16A9"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Дополнительно сообщаем, что Правилами не установлены требования к должностям лиц, проводящих обучение по охране труда, в штате организации. В этой связи работодатель вправе определить локальным нормативным актом лиц из штата организации, проводящих обучение по охране труда, квалификация которых соответствует требованиям Правил, вне зависимости от их должностей.</w:t>
      </w:r>
    </w:p>
    <w:p w14:paraId="2D883E1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17. Согласно пункту 98 Правил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w:t>
      </w:r>
      <w:r w:rsidRPr="00F37983">
        <w:rPr>
          <w:rFonts w:eastAsia="Times New Roman"/>
          <w:color w:val="333333"/>
          <w:lang w:eastAsia="ru-RU"/>
        </w:rPr>
        <w:lastRenderedPageBreak/>
        <w:t>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5EC3CDF4"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этом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без привлечения обучающей организации, должен соответствовать требованиям пункта 96 Правил.</w:t>
      </w:r>
    </w:p>
    <w:p w14:paraId="18C0E74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Следует отметить, что положениями пунктов 34, 40 и 44 Правил определены категории работников, которые проходят обучение по охране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3B7650C3"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18-23. Раздел XI Правил содержит информацию о порядке регистрации в реестре организаций и индивидуальных предпринимателей, оказывающих услуги в области охраны труда (в части обучения по охране труда), в реестре индивидуальных предпринимателей и юридических лиц, осуществляющих деятельность по обучению своих работников вопросам охраны труда, и в реестре обученных по охране труда лиц.</w:t>
      </w:r>
    </w:p>
    <w:p w14:paraId="45050FDF"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Пункт 106 Правил содержит сведения, которые указываются при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w:t>
      </w:r>
    </w:p>
    <w:p w14:paraId="6E3EBF57"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Регистрации в данном реестре подлежат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w:t>
      </w:r>
    </w:p>
    <w:p w14:paraId="783F6AEE" w14:textId="77777777" w:rsidR="00F37983" w:rsidRPr="00F37983" w:rsidRDefault="00F37983" w:rsidP="00F37983">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При этом согласно пункту 2 Постановления № 2464 положения пунктов 104-116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14:paraId="463F2AEC" w14:textId="1ED5DF5F" w:rsidR="00F37983" w:rsidRDefault="00F37983" w:rsidP="00785795">
      <w:pPr>
        <w:shd w:val="clear" w:color="auto" w:fill="FFFFFF"/>
        <w:ind w:firstLine="709"/>
        <w:jc w:val="both"/>
        <w:rPr>
          <w:rFonts w:eastAsia="Times New Roman"/>
          <w:color w:val="333333"/>
          <w:lang w:eastAsia="ru-RU"/>
        </w:rPr>
      </w:pPr>
      <w:r w:rsidRPr="00F37983">
        <w:rPr>
          <w:rFonts w:eastAsia="Times New Roman"/>
          <w:color w:val="333333"/>
          <w:lang w:eastAsia="ru-RU"/>
        </w:rPr>
        <w:t xml:space="preserve"> В этой связи направление уведомлений индивидуальными предпринимателями и юридическими лицами, планирующими осуществлять деятельность по обучению своих работников вопросам охраны труда в соответствии с положениями Постановления № 2464, до 1 марта 2023 г. не требуется.</w:t>
      </w:r>
    </w:p>
    <w:p w14:paraId="0DE71502" w14:textId="751DAADD" w:rsidR="00785795" w:rsidRDefault="00785795" w:rsidP="00785795">
      <w:pPr>
        <w:shd w:val="clear" w:color="auto" w:fill="FFFFFF"/>
        <w:ind w:firstLine="709"/>
        <w:jc w:val="both"/>
        <w:rPr>
          <w:rFonts w:eastAsia="Times New Roman"/>
          <w:color w:val="333333"/>
          <w:lang w:eastAsia="ru-RU"/>
        </w:rPr>
      </w:pPr>
    </w:p>
    <w:p w14:paraId="423FDB86" w14:textId="592581F5" w:rsidR="000A75F1" w:rsidRPr="00F37983" w:rsidRDefault="00785795" w:rsidP="00785795">
      <w:pPr>
        <w:shd w:val="clear" w:color="auto" w:fill="FFFFFF"/>
        <w:ind w:firstLine="709"/>
        <w:jc w:val="both"/>
        <w:rPr>
          <w:rFonts w:eastAsia="Times New Roman"/>
          <w:color w:val="333333"/>
          <w:lang w:eastAsia="ru-RU"/>
        </w:rPr>
      </w:pPr>
      <w:r w:rsidRPr="001F0059">
        <w:rPr>
          <w:rFonts w:eastAsia="Times New Roman"/>
          <w:i/>
          <w:iCs/>
          <w:color w:val="333333"/>
          <w:lang w:eastAsia="ru-RU"/>
        </w:rPr>
        <w:t>Источник: </w:t>
      </w:r>
      <w:hyperlink r:id="rId6" w:history="1">
        <w:r w:rsidRPr="001F0059">
          <w:rPr>
            <w:rFonts w:eastAsia="Times New Roman"/>
            <w:i/>
            <w:iCs/>
            <w:color w:val="006699"/>
            <w:lang w:eastAsia="ru-RU"/>
          </w:rPr>
          <w:t>www.consultant.ru</w:t>
        </w:r>
      </w:hyperlink>
      <w:r w:rsidRPr="001F0059">
        <w:rPr>
          <w:rFonts w:eastAsia="Times New Roman"/>
          <w:i/>
          <w:iCs/>
          <w:color w:val="333333"/>
          <w:lang w:eastAsia="ru-RU"/>
        </w:rPr>
        <w:t>.</w:t>
      </w:r>
    </w:p>
    <w:sectPr w:rsidR="000A75F1" w:rsidRPr="00F37983" w:rsidSect="00785795">
      <w:headerReference w:type="default" r:id="rId7"/>
      <w:pgSz w:w="11906" w:h="16838"/>
      <w:pgMar w:top="1134" w:right="850" w:bottom="993" w:left="156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DB68" w14:textId="77777777" w:rsidR="00950A7C" w:rsidRDefault="00950A7C" w:rsidP="000A75F1">
      <w:r>
        <w:separator/>
      </w:r>
    </w:p>
  </w:endnote>
  <w:endnote w:type="continuationSeparator" w:id="0">
    <w:p w14:paraId="76849DAA" w14:textId="77777777" w:rsidR="00950A7C" w:rsidRDefault="00950A7C" w:rsidP="000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7C9F" w14:textId="77777777" w:rsidR="00950A7C" w:rsidRDefault="00950A7C" w:rsidP="000A75F1">
      <w:r>
        <w:separator/>
      </w:r>
    </w:p>
  </w:footnote>
  <w:footnote w:type="continuationSeparator" w:id="0">
    <w:p w14:paraId="54A43ABF" w14:textId="77777777" w:rsidR="00950A7C" w:rsidRDefault="00950A7C" w:rsidP="000A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4170"/>
      <w:docPartObj>
        <w:docPartGallery w:val="Page Numbers (Top of Page)"/>
        <w:docPartUnique/>
      </w:docPartObj>
    </w:sdtPr>
    <w:sdtContent>
      <w:p w14:paraId="53F739BA" w14:textId="77777777" w:rsidR="000A75F1" w:rsidRDefault="00000000">
        <w:pPr>
          <w:pStyle w:val="a5"/>
          <w:jc w:val="center"/>
        </w:pPr>
        <w:r>
          <w:fldChar w:fldCharType="begin"/>
        </w:r>
        <w:r>
          <w:instrText xml:space="preserve"> PAGE   \* MERGEFORMAT </w:instrText>
        </w:r>
        <w:r>
          <w:fldChar w:fldCharType="separate"/>
        </w:r>
        <w:r w:rsidR="00A770D7">
          <w:rPr>
            <w:noProof/>
          </w:rPr>
          <w:t>9</w:t>
        </w:r>
        <w:r>
          <w:rPr>
            <w:noProof/>
          </w:rPr>
          <w:fldChar w:fldCharType="end"/>
        </w:r>
      </w:p>
    </w:sdtContent>
  </w:sdt>
  <w:p w14:paraId="4E6E6EC9" w14:textId="77777777" w:rsidR="000A75F1" w:rsidRDefault="000A75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5D8"/>
    <w:rsid w:val="000A75F1"/>
    <w:rsid w:val="001E1117"/>
    <w:rsid w:val="002E2C0A"/>
    <w:rsid w:val="00394724"/>
    <w:rsid w:val="00504B48"/>
    <w:rsid w:val="005845D8"/>
    <w:rsid w:val="00785795"/>
    <w:rsid w:val="00950A7C"/>
    <w:rsid w:val="00A770D7"/>
    <w:rsid w:val="00C95262"/>
    <w:rsid w:val="00DB2F88"/>
    <w:rsid w:val="00F3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A603"/>
  <w15:docId w15:val="{91EB2E46-753E-442D-9307-B3C989BA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5D8"/>
    <w:rPr>
      <w:b/>
      <w:bCs/>
    </w:rPr>
  </w:style>
  <w:style w:type="paragraph" w:styleId="a4">
    <w:name w:val="Normal (Web)"/>
    <w:basedOn w:val="a"/>
    <w:uiPriority w:val="99"/>
    <w:unhideWhenUsed/>
    <w:rsid w:val="00F37983"/>
    <w:pPr>
      <w:spacing w:before="100" w:beforeAutospacing="1" w:after="100" w:afterAutospacing="1"/>
    </w:pPr>
    <w:rPr>
      <w:rFonts w:eastAsia="Times New Roman"/>
      <w:sz w:val="24"/>
      <w:szCs w:val="24"/>
      <w:lang w:eastAsia="ru-RU"/>
    </w:rPr>
  </w:style>
  <w:style w:type="paragraph" w:styleId="a5">
    <w:name w:val="header"/>
    <w:basedOn w:val="a"/>
    <w:link w:val="a6"/>
    <w:uiPriority w:val="99"/>
    <w:unhideWhenUsed/>
    <w:rsid w:val="000A75F1"/>
    <w:pPr>
      <w:tabs>
        <w:tab w:val="center" w:pos="4677"/>
        <w:tab w:val="right" w:pos="9355"/>
      </w:tabs>
    </w:pPr>
  </w:style>
  <w:style w:type="character" w:customStyle="1" w:styleId="a6">
    <w:name w:val="Верхний колонтитул Знак"/>
    <w:basedOn w:val="a0"/>
    <w:link w:val="a5"/>
    <w:uiPriority w:val="99"/>
    <w:rsid w:val="000A75F1"/>
  </w:style>
  <w:style w:type="paragraph" w:styleId="a7">
    <w:name w:val="footer"/>
    <w:basedOn w:val="a"/>
    <w:link w:val="a8"/>
    <w:uiPriority w:val="99"/>
    <w:semiHidden/>
    <w:unhideWhenUsed/>
    <w:rsid w:val="000A75F1"/>
    <w:pPr>
      <w:tabs>
        <w:tab w:val="center" w:pos="4677"/>
        <w:tab w:val="right" w:pos="9355"/>
      </w:tabs>
    </w:pPr>
  </w:style>
  <w:style w:type="character" w:customStyle="1" w:styleId="a8">
    <w:name w:val="Нижний колонтитул Знак"/>
    <w:basedOn w:val="a0"/>
    <w:link w:val="a7"/>
    <w:uiPriority w:val="99"/>
    <w:semiHidden/>
    <w:rsid w:val="000A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1997">
      <w:bodyDiv w:val="1"/>
      <w:marLeft w:val="0"/>
      <w:marRight w:val="0"/>
      <w:marTop w:val="0"/>
      <w:marBottom w:val="0"/>
      <w:divBdr>
        <w:top w:val="none" w:sz="0" w:space="0" w:color="auto"/>
        <w:left w:val="none" w:sz="0" w:space="0" w:color="auto"/>
        <w:bottom w:val="none" w:sz="0" w:space="0" w:color="auto"/>
        <w:right w:val="none" w:sz="0" w:space="0" w:color="auto"/>
      </w:divBdr>
      <w:divsChild>
        <w:div w:id="1979798099">
          <w:marLeft w:val="0"/>
          <w:marRight w:val="0"/>
          <w:marTop w:val="0"/>
          <w:marBottom w:val="0"/>
          <w:divBdr>
            <w:top w:val="none" w:sz="0" w:space="0" w:color="auto"/>
            <w:left w:val="none" w:sz="0" w:space="0" w:color="auto"/>
            <w:bottom w:val="none" w:sz="0" w:space="0" w:color="auto"/>
            <w:right w:val="none" w:sz="0" w:space="0" w:color="auto"/>
          </w:divBdr>
        </w:div>
        <w:div w:id="1225868457">
          <w:marLeft w:val="0"/>
          <w:marRight w:val="0"/>
          <w:marTop w:val="0"/>
          <w:marBottom w:val="0"/>
          <w:divBdr>
            <w:top w:val="none" w:sz="0" w:space="0" w:color="auto"/>
            <w:left w:val="none" w:sz="0" w:space="0" w:color="auto"/>
            <w:bottom w:val="none" w:sz="0" w:space="0" w:color="auto"/>
            <w:right w:val="none" w:sz="0" w:space="0" w:color="auto"/>
          </w:divBdr>
        </w:div>
      </w:divsChild>
    </w:div>
    <w:div w:id="1266576735">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0">
          <w:marLeft w:val="0"/>
          <w:marRight w:val="0"/>
          <w:marTop w:val="0"/>
          <w:marBottom w:val="0"/>
          <w:divBdr>
            <w:top w:val="none" w:sz="0" w:space="0" w:color="auto"/>
            <w:left w:val="none" w:sz="0" w:space="0" w:color="auto"/>
            <w:bottom w:val="none" w:sz="0" w:space="0" w:color="auto"/>
            <w:right w:val="none" w:sz="0" w:space="0" w:color="auto"/>
          </w:divBdr>
        </w:div>
      </w:divsChild>
    </w:div>
    <w:div w:id="16980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Старовойтова Елена Ивановна</dc:creator>
  <cp:lastModifiedBy>Иван Ванин</cp:lastModifiedBy>
  <cp:revision>4</cp:revision>
  <dcterms:created xsi:type="dcterms:W3CDTF">2022-10-21T11:47:00Z</dcterms:created>
  <dcterms:modified xsi:type="dcterms:W3CDTF">2022-10-24T05:49:00Z</dcterms:modified>
</cp:coreProperties>
</file>